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2017/64 vom 20. August 2019</w:t>
      </w:r>
    </w:p>
    <w:p>
      <w:r>
        <w:t>Sg Versicherungsgericht, 2019-08-20, DE</w:t>
      </w:r>
    </w:p>
    <w:p>
      <w:r>
        <w:rPr>
          <w:b/>
        </w:rPr>
        <w:t xml:space="preserve">Quelle: </w:t>
      </w:r>
      <w:r>
        <w:t>https://mcp.opencaselaw.ch/entscheid/sg_publikationen_IV 2017_64</w:t>
      </w:r>
    </w:p>
    <w:p>
      <w:r>
        <w:t>FR: SG_VERSICHERUNGSGERICHT IV 2017/64 du 20 août 2019</w:t>
      </w:r>
    </w:p>
    <w:p>
      <w:r>
        <w:t>IT: SG_VERSICHERUNGSGERICHT IV 2017/64 del 20 agosto 2019</w:t>
      </w:r>
    </w:p>
    <w:p>
      <w:pPr>
        <w:pStyle w:val="Heading2"/>
      </w:pPr>
      <w:r>
        <w:t>Regeste</w:t>
      </w:r>
    </w:p>
    <w:p>
      <w:r>
        <w:t>Art. 7, 8 und 43 ATSG; Art. 28 IVG: Gutachten ist sorgfältig erstellt worden, jedoch überzeugt die Begründung für die Arbeitsfähigkeit aus polydisziplinärer Sicht nicht. Beschwerdegegnerin hat Rückfrage bei den Gutachtern unterlassen. Verletzung des Untersuchungsgrundsatzes. Rückweisung zur Nachfrage bei den Gutachtern (Entscheid des Versicherungsgerichts des Kantons St. Gallen vom 20. August 2019, IV 2017/64).</w:t>
      </w:r>
    </w:p>
    <w:p>
      <w:pPr>
        <w:pStyle w:val="Heading2"/>
      </w:pPr>
      <w:r>
        <w:t>Erwägungen</w:t>
      </w:r>
    </w:p>
    <w:p>
      <w:r>
        <w:rPr>
          <w:b/>
        </w:rPr>
        <w:t>E. 1</w:t>
      </w:r>
    </w:p>
    <w:p>
      <w:r>
        <w:t>Vorliegend strittig und zu prüfen ist der Anspruch des Beschwerdeführers auf eine Invalidenrente.</w:t>
      </w:r>
    </w:p>
    <w:p>
      <w:r>
        <w:rPr>
          <w:b/>
        </w:rPr>
        <w:t>E. 2.1</w:t>
      </w:r>
    </w:p>
    <w:p>
      <w:r>
        <w:t>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Im Weiteren sind die ärztlichen Aussagen eine wichtige Grundlage für die Beurteilung der Frage, welche Arbeitsleistungen einer Person noch zugemutet werden können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3.1</w:t>
      </w:r>
    </w:p>
    <w:p>
      <w:r>
        <w:t>Beide Parteien sind sich grundsätzlich darin einig, dass dem SMAB-Gutachten vom 30. September 2015 Beweiswert zukomme (vgl. act. G 4 S. 4 und act. G 1 S. 5 ff.). Die Beschwerdegegnerin stützt sich für die Abweisung des Rentenbegehrens denn auch in erster Linie auf dieses Gutachten (vgl. act. G 1.1). Aus vermeintlichen rechtlichen Überlegungen stellt sie jedoch nicht auf die gesamtgutachterliche Schätzung der Arbeitsfähigkeit ab (act. G 1.1 und 4).</w:t>
      </w:r>
    </w:p>
    <w:p>
      <w:r>
        <w:rPr>
          <w:b/>
        </w:rPr>
        <w:t>E. 3.2</w:t>
      </w:r>
    </w:p>
    <w:p>
      <w:r>
        <w:t>Die von der Beschwerdegegnerin in der Beschwerdeantwort angeführte Rechtsprechung hinsichtlich der invalidenversicherungsrechtlichen Bedeutung von leichten bis mittelschweren depressiven Erkrankungen (vgl. act. G 4 S. 5) ist vom Bundesgericht in BGE 143 V 409 aufgegeben worden. Das Bundesgericht hat in diesem Urteil darauf hingewiesen, dass die Frage, ob bei Erkrankungen aus dem depressiven Formenkreis eine invalidenversicherungsrechtliche Einschränkung der Arbeitsfähigkeit resultiere, ebenso wenig wie bei somatoformen Störungen allein mit Bezug auf das Kriterium der Behandelbarkeit beantwortet werden könne (vgl. BGE 143 V 414 E. 4.4). Vielmehr sei auch bei leichten bis mittelschweren depressiven Störungen, wie bei jeder anderen geltend gemachten gesundheitsbedingten Erwerbsunfähigkeit, im Einzelfall danach zu fragen, ob und wie sich die Krankheit invaliditätsbedingt auswirke. Auch Leiden aus dem depressiven Formenkreis seien grundsätzlich einem strukturierten Beweisverfahren nach BGE 141 V 281 zu unterziehen (vgl. BGE 143 V 416 E. 4.5.2). Auch kann der Beschwerdegegnerin nicht gefolgt werden, wenn sie geltend macht, die Diagnose "psychische Faktoren und Verhaltensfaktoren bei andernorts klassifizierten Krankheiten" falle nicht unter die Schmerzrechtsprechung und sei für die Beurteilung der Arbeitsfähigkeit von vornherein irrelevant (vgl. act. G 4 S. 5). Gemäss der aktuellen bundesgerichtlichen Rechtsprechung sind nicht nur die somatoformen Schmerzstörungen, sondern grundsätzlich sämtliche psychischen Erkrankungen einem strukturierten Beweisverfahren zu unterziehen (BGE 143 V 429 E. 7.2). Sodann steht das strukturierte Beweisverfahren einer Aufteilung von Einbussen auf einzelne Leiden entgegen, da es auf einer ergebnisoffenen Gesamtbetrachtung in Berücksichtigung der Wechselwirkungen basiert. Auch wenn eine einzelne Diagnose für sich allein betrachtet keine Invalidität bewirkt, kann sie zusammen mit anderen Befunden die Arbeitsfähigkeit im Einzelfall gleichwohl erheblich beeinträchtigen. Eine Störung kann unabhängig von ihrer Diagnose bereits dann als rechtlich bedeutsame Komorbidität in Betracht fallen, wenn ihr im konkreten Fall ressourcenhemmende Wirkung beizumessen ist (BGE 143 V 430 E. 8.1). Nach dem Gesagten ist gesamthaft zu prüfen, ob die Gutachter unter Berücksichtigung der massgebenden Standardindikatoren zu einer überzeugenden Schätzung der Arbeitsfähigkeit des Beschwerdeführers gelangt sind.</w:t>
      </w:r>
    </w:p>
    <w:p>
      <w:r>
        <w:rPr>
          <w:b/>
        </w:rPr>
        <w:t>E. 3.3</w:t>
      </w:r>
    </w:p>
    <w:p>
      <w:r>
        <w:t>Die Gutachter haben den Beschwerdeführer eingehend untersucht und befragt, sie haben die geklagten Beschwerden berücksichtigt und ihre Arbeitsfähigkeitsschätzung in Kenntnis der Vorakten abgegeben. Weiter bestehen keine Anhaltspunkte dafür, dass objektiv wesentliche Tatsachen im Gutachten nicht berücksichtigt worden wären. Ihre Arbeitsfähigkeitsschätzung haben die Gutachter unter Bezugnahme auf die massgebenden Standardindikatoren begründet (vgl. IV-act. 95). Der psychiatrische Gutachter hat auch die Wechselwirkungen zwischen den psychiatrischen Diagnosen und ihre ressourcenhemmende Wirkung aufgezeigt (vgl. insbesondere IV-act. 95 S. 62 f.; vgl. ferner IV-act. 95 S. 59 ff.). Das Gutachten erscheint sorgfältig erstellt und die in den Teilgutachten enthaltenen Arbeitsfähigkeitsschätzungen sind für sich nachvollziehbar. Auch die Parteien sind sich darin einig, dass auf die in den Teilgutachten enthaltenen Arbeitsfähigkeitsschätzungen grundsätzlich abgestellt werden kann (vgl. act. G 4 S. 4 und act. G 1 S. 5 ff.).</w:t>
      </w:r>
    </w:p>
    <w:p>
      <w:r>
        <w:rPr>
          <w:b/>
        </w:rPr>
        <w:t>E. 3.4</w:t>
      </w:r>
    </w:p>
    <w:p>
      <w:r>
        <w:t>Zu Recht hat die Beschwerdegegnerin allerdings darauf hingewiesen, dass in einer Vielzahl ähnlich gelagerter Fälle beim Zusammentreffen von somatischen und psychischen Einschränkungen der Arbeitsfähigkeit aus gesamtgutachterlicher Sicht auf die höchste Arbeitsfähigkeit abgestellt wird, ohne dass die unterschiedlichen Arbeitsunfähigkeitsgrade addiert werden (vgl. act. G 1.1 S. 1 f.). Folglich stellt sich die Frage, warum im vorliegenden SMAB-Gutachten eine Addition der in den einzelnen Fachrichtungen attestierten Arbeitsunfähigkeiten erfolgt ist. Die Gutachter erläutern zwar kurz, warum die in den Einzelgutachten attestierten Einschränkungen der Arbeitsfähigkeit von 20 % und 30 % bei der polydisziplinären Arbeitsfähigkeitsschätzung kumulativ berücksichtigt worden sind. Sie gehen nämlich davon aus, dass die psychischen Leiden die Arbeitsfähigkeit zeitlich auf ca. sechs Stunden pro Tag beschränken, während die lumbalen Rückenschmerzen zu einer Reduktion des Arbeitstempos und damit einhergehend der Produktivität führen, weshalb zusätzlich zur zeitlichen Einschränkung auch eine um 20 % verminderte Leistungsfähigkeit bestehe (vgl. IV-act. 95 S. 25). Gleichwohl wird das Zusammenspiel zwischen den psychischen und den orthopädischen Einschränkungen im polydisziplinären Konsens nicht ausreichend dargelegt. Aus orthopädischer Sicht wird das reduzierte Arbeitstempo in erster Linie mit dem Schmerzempfinden des Beschwerdeführers begründet (vgl. IV-act. 95 S. 35). Der psychiatrische Gutachter begründet die reduzierte Arbeitsfähigkeit ebenfalls mit den Schmerzen, einem reduzierten Durchhaltevermögen und einer reduzierten emotionalen Belastbarkeit (vgl. IV-act. 95 S. 63). Aufgrund der sowohl für die psychiatrische als auch orthopädische Arbeitsfähigkeitsschätzung relevanten Schmerzproblematik müsste der polydisziplinäre Konsens aufzeigen, inwiefern die Schmerzen eine doppelte Berücksichtigung im Rahmen der Arbeitsfähigkeitsschätzung aus gesamtgutachterlicher Sicht rechtfertigen bzw. warum die aus orthopädischer Sicht beschriebene Verringerung im Arbeitstempo mit der damit einhergehenden Leistungsverminderung nicht bereits durch die aus psychischen Gründen notwendige Reduktion des Arbeitspensums abgegolten ist. Dabei ist wesentlich, inwiefern sich der Beschwerdeführer in der aus psychiatrischer Sicht notwendigen Freizeit gleichzeitig hinsichtlich der orthopädischen Leiden erholen kann, und ob sich durch eine Erholungsphase die Auswirkungen der gesundheitlichen Beeinträchtigung auf das Arbeitstempo verringern können. Mit anderen Worten geht aus dem Gutachten nicht hervor, inwiefern sich die psychiatrisch attestierte reduzierte Belastbarkeit von der orthopädischen unterscheidet und inwiefern sich ein aus psychiatrischen Gründen reduziertes Arbeitspensum aus orthopädischer Sicht positiv auf das Arbeitstempo auswirkt. Der Beschwerdegegnerin ist somit zuzustimmen, dass die im polydisziplinären Konsens attestierte Arbeitsunfähigkeit von 45 % nicht nachvollziehbar ist. Dies führt allerdings nicht dazu, dass sie ihre eigene - aus medizinischer Sicht laienhafte - Arbeitsfähigkeitsschätzung an die Stelle derjenigen der Gutachter setzen kann (vgl. act. G 1.1 S. 1 f.). Vielmehr wäre sie, wie der Beschwerdeführer zu Recht vorbringt (vgl. act. G 1 S. 6), gehalten gewesen, bei den Gutachtern entsprechend nachzufragen. Indem die Beschwerdegegnerin ein medizinisches Gutachten in Auftrag gegeben hat, hat sie nämlich zum Ausdruck gebracht, dass sie auf den Sachverstand unabhängiger medizinischer Fachleute angewiesen ist. Da sie Zweifel an der im Gutachten enthaltenen Arbeitsfähigkeitsschätzung gehegt hat, wäre sie im Rahmen der sie treffenden Untersuchungspflicht gehalten gewesen, weitere Abklärungen vorzunehmen. Dies hat sie in Verletzung des Untersuchungsgrundsatzes (Art. 43 Abs. 1 ATSG) unterlassen, weshalb die angefochtene Verfügung als rechtswidrig aufzuheben ist. Da es nicht die Sache des Versicherungsgerichtes sein kann, die ureigenste Aufgabe der Beschwerdegegnerin - die Sachverhalts­abklärung - zu übernehmen, ist die Sache zur weiteren Abklärung, insbesondere für eine Nachfrage bei den Gutachtern, an die Beschwerdegegnerin zurückzuweisen (vgl. Urteil des Bundesgerichts vom 9. Februar 2018, 8C_580/2017, E. 3.1 mit weiteren Hinweisen). Je nach Rückmeldung der Gutachter drängen sich gegebenenfalls weitere Abklärungen auf.</w:t>
      </w:r>
    </w:p>
    <w:p>
      <w:r>
        <w:rPr>
          <w:b/>
        </w:rPr>
        <w:t>E. 4.1</w:t>
      </w:r>
    </w:p>
    <w:p>
      <w:r>
        <w:t>In teilweiser Gutheissung der Beschwerde ist die angefochtene Verfügung aufzuheben und die Sache ist zur Vornahme weiterer Abklärungen und zur anschliessenden neuen Verfügung im Sinne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215 E. 6.2). Dementsprechend ist die Gerichtsgebühr von Fr. 600.-- vollumfänglich der Beschwerdegegnerin aufzuerlegen.</w:t>
      </w:r>
    </w:p>
    <w:p>
      <w:r>
        <w:rPr>
          <w:b/>
        </w:rPr>
        <w:t>E. 4.3</w:t>
      </w:r>
    </w:p>
    <w:p>
      <w:r>
        <w:t>Gemäss Art. 61 lit. g ATSG hat die obsiegende beschwerdeführende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durchschnittlich aufwändigen Fall erscheint eine pauschale Parteientschädigung von Fr. 3'500.-- als angemessen. Die Beschwerdegegnerin hat den Beschwerdeführer deshalb mit Fr. 3'500.-- (inklusive Barauslagen und Mehrwertsteuer) zu entschädigen. Entscheid im Zirkulationsverfahren gemäss Art. 39 VRP 1. In teilweiser Gutheissung der Beschwerde wird die angefochtene Verfügung aufgehoben und die Sache wird zur weiteren Abklärung im Sinne der Erwägungen an die Beschwerdegegnerin zurückgewiesen.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